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B7F" w:rsidRDefault="008F242F">
      <w:pPr>
        <w:rPr>
          <w:b/>
          <w:u w:val="single"/>
        </w:rPr>
      </w:pPr>
      <w:r w:rsidRPr="008F242F">
        <w:rPr>
          <w:b/>
          <w:u w:val="single"/>
        </w:rPr>
        <w:t>Healthcare</w:t>
      </w:r>
    </w:p>
    <w:p w:rsidR="008F242F" w:rsidRDefault="008F242F">
      <w:r w:rsidRPr="008F242F">
        <w:t xml:space="preserve">The healthcare industry has the second highest employment in Metro North, under the Professional, Technical, and Scientific industry, with 56,739 workers employed in the Metro North region.   When compared to the </w:t>
      </w:r>
      <w:proofErr w:type="gramStart"/>
      <w:r w:rsidRPr="008F242F">
        <w:t>state as a whole, the</w:t>
      </w:r>
      <w:proofErr w:type="gramEnd"/>
      <w:r w:rsidRPr="008F242F">
        <w:t xml:space="preserve"> location quotient for healthcare (the Healthcare and Social Assistance Industry Sector) in the Metro North region is .77 (13.8% of Metro North’s employment). The table below shows that private hospitals, offices of physicians, nursing care facilities, and home healthcare services have the highest number of jobs in the Metro North region within the healthcare industry.</w:t>
      </w:r>
    </w:p>
    <w:p w:rsidR="008F242F" w:rsidRDefault="008F242F"/>
    <w:tbl>
      <w:tblPr>
        <w:tblW w:w="10440" w:type="dxa"/>
        <w:tblInd w:w="-612" w:type="dxa"/>
        <w:tblLayout w:type="fixed"/>
        <w:tblLook w:val="04A0" w:firstRow="1" w:lastRow="0" w:firstColumn="1" w:lastColumn="0" w:noHBand="0" w:noVBand="1"/>
      </w:tblPr>
      <w:tblGrid>
        <w:gridCol w:w="992"/>
        <w:gridCol w:w="4168"/>
        <w:gridCol w:w="863"/>
        <w:gridCol w:w="95"/>
        <w:gridCol w:w="959"/>
        <w:gridCol w:w="960"/>
        <w:gridCol w:w="1150"/>
        <w:gridCol w:w="1253"/>
      </w:tblGrid>
      <w:tr w:rsidR="008F242F" w:rsidRPr="008F242F" w:rsidTr="007511A5">
        <w:trPr>
          <w:trHeight w:val="1313"/>
        </w:trPr>
        <w:tc>
          <w:tcPr>
            <w:tcW w:w="992" w:type="dxa"/>
            <w:tcBorders>
              <w:top w:val="single" w:sz="4" w:space="0" w:color="000000"/>
              <w:left w:val="single" w:sz="4" w:space="0" w:color="000000"/>
              <w:bottom w:val="nil"/>
              <w:right w:val="nil"/>
            </w:tcBorders>
            <w:shd w:val="clear" w:color="000000" w:fill="000000"/>
            <w:noWrap/>
            <w:vAlign w:val="bottom"/>
            <w:hideMark/>
          </w:tcPr>
          <w:p w:rsidR="008F242F" w:rsidRPr="008F242F" w:rsidRDefault="008F242F" w:rsidP="008F242F">
            <w:pPr>
              <w:rPr>
                <w:b/>
                <w:bCs/>
              </w:rPr>
            </w:pPr>
            <w:r w:rsidRPr="008F242F">
              <w:rPr>
                <w:b/>
                <w:bCs/>
              </w:rPr>
              <w:t>NAICS Code</w:t>
            </w:r>
          </w:p>
        </w:tc>
        <w:tc>
          <w:tcPr>
            <w:tcW w:w="4168" w:type="dxa"/>
            <w:tcBorders>
              <w:top w:val="single" w:sz="4" w:space="0" w:color="000000"/>
              <w:left w:val="nil"/>
              <w:bottom w:val="nil"/>
              <w:right w:val="nil"/>
            </w:tcBorders>
            <w:shd w:val="clear" w:color="000000" w:fill="000000"/>
            <w:noWrap/>
            <w:vAlign w:val="bottom"/>
            <w:hideMark/>
          </w:tcPr>
          <w:p w:rsidR="008F242F" w:rsidRPr="008F242F" w:rsidRDefault="008F242F" w:rsidP="008F242F">
            <w:pPr>
              <w:rPr>
                <w:b/>
                <w:bCs/>
              </w:rPr>
            </w:pPr>
            <w:r w:rsidRPr="008F242F">
              <w:rPr>
                <w:b/>
                <w:bCs/>
              </w:rPr>
              <w:t>Description</w:t>
            </w:r>
          </w:p>
        </w:tc>
        <w:tc>
          <w:tcPr>
            <w:tcW w:w="863" w:type="dxa"/>
            <w:tcBorders>
              <w:top w:val="single" w:sz="4" w:space="0" w:color="000000"/>
              <w:left w:val="nil"/>
              <w:bottom w:val="nil"/>
              <w:right w:val="nil"/>
            </w:tcBorders>
            <w:shd w:val="clear" w:color="000000" w:fill="000000"/>
            <w:vAlign w:val="bottom"/>
            <w:hideMark/>
          </w:tcPr>
          <w:p w:rsidR="008F242F" w:rsidRPr="008F242F" w:rsidRDefault="008F242F" w:rsidP="008F242F">
            <w:pPr>
              <w:rPr>
                <w:b/>
                <w:bCs/>
              </w:rPr>
            </w:pPr>
            <w:r w:rsidRPr="008F242F">
              <w:rPr>
                <w:b/>
                <w:bCs/>
              </w:rPr>
              <w:t>2013 Jobs</w:t>
            </w:r>
          </w:p>
        </w:tc>
        <w:tc>
          <w:tcPr>
            <w:tcW w:w="1054" w:type="dxa"/>
            <w:gridSpan w:val="2"/>
            <w:tcBorders>
              <w:top w:val="single" w:sz="4" w:space="0" w:color="000000"/>
              <w:left w:val="nil"/>
              <w:bottom w:val="nil"/>
              <w:right w:val="nil"/>
            </w:tcBorders>
            <w:shd w:val="clear" w:color="000000" w:fill="000000"/>
            <w:vAlign w:val="bottom"/>
            <w:hideMark/>
          </w:tcPr>
          <w:p w:rsidR="008F242F" w:rsidRPr="008F242F" w:rsidRDefault="008F242F" w:rsidP="008F242F">
            <w:pPr>
              <w:rPr>
                <w:b/>
                <w:bCs/>
              </w:rPr>
            </w:pPr>
            <w:r w:rsidRPr="008F242F">
              <w:rPr>
                <w:b/>
                <w:bCs/>
              </w:rPr>
              <w:t>2015 Jobs</w:t>
            </w:r>
          </w:p>
        </w:tc>
        <w:tc>
          <w:tcPr>
            <w:tcW w:w="960" w:type="dxa"/>
            <w:tcBorders>
              <w:top w:val="single" w:sz="4" w:space="0" w:color="000000"/>
              <w:left w:val="nil"/>
              <w:bottom w:val="nil"/>
              <w:right w:val="nil"/>
            </w:tcBorders>
            <w:shd w:val="clear" w:color="000000" w:fill="000000"/>
            <w:vAlign w:val="bottom"/>
            <w:hideMark/>
          </w:tcPr>
          <w:p w:rsidR="008F242F" w:rsidRPr="008F242F" w:rsidRDefault="008F242F" w:rsidP="008F242F">
            <w:pPr>
              <w:rPr>
                <w:b/>
                <w:bCs/>
              </w:rPr>
            </w:pPr>
            <w:r w:rsidRPr="008F242F">
              <w:rPr>
                <w:b/>
                <w:bCs/>
              </w:rPr>
              <w:t>Change</w:t>
            </w:r>
          </w:p>
        </w:tc>
        <w:tc>
          <w:tcPr>
            <w:tcW w:w="1150" w:type="dxa"/>
            <w:tcBorders>
              <w:top w:val="single" w:sz="4" w:space="0" w:color="000000"/>
              <w:left w:val="nil"/>
              <w:bottom w:val="nil"/>
              <w:right w:val="nil"/>
            </w:tcBorders>
            <w:shd w:val="clear" w:color="000000" w:fill="000000"/>
            <w:vAlign w:val="bottom"/>
            <w:hideMark/>
          </w:tcPr>
          <w:p w:rsidR="008F242F" w:rsidRPr="008F242F" w:rsidRDefault="008F242F" w:rsidP="008F242F">
            <w:pPr>
              <w:rPr>
                <w:b/>
                <w:bCs/>
              </w:rPr>
            </w:pPr>
            <w:r w:rsidRPr="008F242F">
              <w:rPr>
                <w:b/>
                <w:bCs/>
              </w:rPr>
              <w:t>% Change</w:t>
            </w:r>
          </w:p>
        </w:tc>
        <w:tc>
          <w:tcPr>
            <w:tcW w:w="1253" w:type="dxa"/>
            <w:tcBorders>
              <w:top w:val="single" w:sz="4" w:space="0" w:color="000000"/>
              <w:left w:val="nil"/>
              <w:bottom w:val="nil"/>
              <w:right w:val="single" w:sz="4" w:space="0" w:color="000000"/>
            </w:tcBorders>
            <w:shd w:val="clear" w:color="000000" w:fill="000000"/>
            <w:vAlign w:val="bottom"/>
            <w:hideMark/>
          </w:tcPr>
          <w:p w:rsidR="008F242F" w:rsidRPr="008F242F" w:rsidRDefault="008F242F" w:rsidP="008F242F">
            <w:pPr>
              <w:rPr>
                <w:b/>
                <w:bCs/>
              </w:rPr>
            </w:pPr>
            <w:r w:rsidRPr="008F242F">
              <w:rPr>
                <w:b/>
                <w:bCs/>
              </w:rPr>
              <w:t xml:space="preserve">2015 </w:t>
            </w:r>
            <w:proofErr w:type="spellStart"/>
            <w:r w:rsidRPr="008F242F">
              <w:rPr>
                <w:b/>
                <w:bCs/>
              </w:rPr>
              <w:t>Avg</w:t>
            </w:r>
            <w:proofErr w:type="spellEnd"/>
            <w:r w:rsidRPr="008F242F">
              <w:rPr>
                <w:b/>
                <w:bCs/>
              </w:rPr>
              <w:t xml:space="preserve"> Weekly Wage</w:t>
            </w:r>
          </w:p>
        </w:tc>
      </w:tr>
      <w:tr w:rsidR="008F242F" w:rsidRPr="008F242F" w:rsidTr="007511A5">
        <w:trPr>
          <w:trHeight w:val="328"/>
        </w:trPr>
        <w:tc>
          <w:tcPr>
            <w:tcW w:w="992" w:type="dxa"/>
            <w:tcBorders>
              <w:top w:val="single" w:sz="4" w:space="0" w:color="000000"/>
              <w:left w:val="single" w:sz="4" w:space="0" w:color="000000"/>
              <w:bottom w:val="nil"/>
              <w:right w:val="nil"/>
            </w:tcBorders>
            <w:shd w:val="clear" w:color="auto" w:fill="auto"/>
            <w:noWrap/>
            <w:vAlign w:val="bottom"/>
            <w:hideMark/>
          </w:tcPr>
          <w:p w:rsidR="008F242F" w:rsidRPr="008F242F" w:rsidRDefault="008F242F" w:rsidP="008F242F">
            <w:r w:rsidRPr="008F242F">
              <w:t>6221</w:t>
            </w:r>
          </w:p>
        </w:tc>
        <w:tc>
          <w:tcPr>
            <w:tcW w:w="4168"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General Medical and Surgical Hospitals (Private)</w:t>
            </w:r>
          </w:p>
        </w:tc>
        <w:tc>
          <w:tcPr>
            <w:tcW w:w="958" w:type="dxa"/>
            <w:gridSpan w:val="2"/>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15,121</w:t>
            </w:r>
          </w:p>
        </w:tc>
        <w:tc>
          <w:tcPr>
            <w:tcW w:w="959"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15,677</w:t>
            </w:r>
          </w:p>
        </w:tc>
        <w:tc>
          <w:tcPr>
            <w:tcW w:w="960"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556</w:t>
            </w:r>
          </w:p>
        </w:tc>
        <w:tc>
          <w:tcPr>
            <w:tcW w:w="1150"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23.7%</w:t>
            </w:r>
          </w:p>
        </w:tc>
        <w:tc>
          <w:tcPr>
            <w:tcW w:w="1253" w:type="dxa"/>
            <w:tcBorders>
              <w:top w:val="single" w:sz="4" w:space="0" w:color="000000"/>
              <w:left w:val="nil"/>
              <w:bottom w:val="nil"/>
              <w:right w:val="single" w:sz="4" w:space="0" w:color="000000"/>
            </w:tcBorders>
            <w:shd w:val="clear" w:color="auto" w:fill="auto"/>
            <w:noWrap/>
            <w:vAlign w:val="bottom"/>
            <w:hideMark/>
          </w:tcPr>
          <w:p w:rsidR="008F242F" w:rsidRPr="008F242F" w:rsidRDefault="008F242F" w:rsidP="008F242F">
            <w:r w:rsidRPr="008F242F">
              <w:t xml:space="preserve">$1,306 </w:t>
            </w:r>
          </w:p>
        </w:tc>
      </w:tr>
      <w:tr w:rsidR="008F242F" w:rsidRPr="008F242F" w:rsidTr="007511A5">
        <w:trPr>
          <w:trHeight w:val="328"/>
        </w:trPr>
        <w:tc>
          <w:tcPr>
            <w:tcW w:w="992" w:type="dxa"/>
            <w:tcBorders>
              <w:top w:val="single" w:sz="4" w:space="0" w:color="000000"/>
              <w:left w:val="single" w:sz="4" w:space="0" w:color="000000"/>
              <w:bottom w:val="nil"/>
              <w:right w:val="nil"/>
            </w:tcBorders>
            <w:shd w:val="clear" w:color="auto" w:fill="auto"/>
            <w:noWrap/>
            <w:vAlign w:val="bottom"/>
            <w:hideMark/>
          </w:tcPr>
          <w:p w:rsidR="008F242F" w:rsidRPr="008F242F" w:rsidRDefault="008F242F" w:rsidP="008F242F">
            <w:r w:rsidRPr="008F242F">
              <w:t>6211</w:t>
            </w:r>
          </w:p>
        </w:tc>
        <w:tc>
          <w:tcPr>
            <w:tcW w:w="4168"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Offices of Physicians (except Mental Health Specialists)</w:t>
            </w:r>
          </w:p>
        </w:tc>
        <w:tc>
          <w:tcPr>
            <w:tcW w:w="958" w:type="dxa"/>
            <w:gridSpan w:val="2"/>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4,953</w:t>
            </w:r>
          </w:p>
        </w:tc>
        <w:tc>
          <w:tcPr>
            <w:tcW w:w="959"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4,925</w:t>
            </w:r>
          </w:p>
        </w:tc>
        <w:tc>
          <w:tcPr>
            <w:tcW w:w="960"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-28</w:t>
            </w:r>
          </w:p>
        </w:tc>
        <w:tc>
          <w:tcPr>
            <w:tcW w:w="1150"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-0.6%</w:t>
            </w:r>
          </w:p>
        </w:tc>
        <w:tc>
          <w:tcPr>
            <w:tcW w:w="1253" w:type="dxa"/>
            <w:tcBorders>
              <w:top w:val="single" w:sz="4" w:space="0" w:color="000000"/>
              <w:left w:val="nil"/>
              <w:bottom w:val="nil"/>
              <w:right w:val="single" w:sz="4" w:space="0" w:color="000000"/>
            </w:tcBorders>
            <w:shd w:val="clear" w:color="auto" w:fill="auto"/>
            <w:noWrap/>
            <w:vAlign w:val="bottom"/>
            <w:hideMark/>
          </w:tcPr>
          <w:p w:rsidR="008F242F" w:rsidRPr="008F242F" w:rsidRDefault="008F242F" w:rsidP="008F242F">
            <w:r w:rsidRPr="008F242F">
              <w:t xml:space="preserve">$1,854 </w:t>
            </w:r>
          </w:p>
        </w:tc>
      </w:tr>
      <w:tr w:rsidR="008F242F" w:rsidRPr="008F242F" w:rsidTr="007511A5">
        <w:trPr>
          <w:trHeight w:val="440"/>
        </w:trPr>
        <w:tc>
          <w:tcPr>
            <w:tcW w:w="992" w:type="dxa"/>
            <w:tcBorders>
              <w:top w:val="single" w:sz="4" w:space="0" w:color="000000"/>
              <w:left w:val="single" w:sz="4" w:space="0" w:color="000000"/>
              <w:bottom w:val="nil"/>
              <w:right w:val="nil"/>
            </w:tcBorders>
            <w:shd w:val="clear" w:color="auto" w:fill="auto"/>
            <w:noWrap/>
            <w:vAlign w:val="bottom"/>
            <w:hideMark/>
          </w:tcPr>
          <w:p w:rsidR="008F242F" w:rsidRPr="008F242F" w:rsidRDefault="008F242F" w:rsidP="008F242F">
            <w:r w:rsidRPr="008F242F">
              <w:t>6231</w:t>
            </w:r>
          </w:p>
        </w:tc>
        <w:tc>
          <w:tcPr>
            <w:tcW w:w="4168"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Nursing Care Facilities</w:t>
            </w:r>
          </w:p>
        </w:tc>
        <w:tc>
          <w:tcPr>
            <w:tcW w:w="958" w:type="dxa"/>
            <w:gridSpan w:val="2"/>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4,679</w:t>
            </w:r>
          </w:p>
        </w:tc>
        <w:tc>
          <w:tcPr>
            <w:tcW w:w="959"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4,472</w:t>
            </w:r>
          </w:p>
        </w:tc>
        <w:tc>
          <w:tcPr>
            <w:tcW w:w="960"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-207</w:t>
            </w:r>
          </w:p>
        </w:tc>
        <w:tc>
          <w:tcPr>
            <w:tcW w:w="1150"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-4%</w:t>
            </w:r>
          </w:p>
        </w:tc>
        <w:tc>
          <w:tcPr>
            <w:tcW w:w="1253" w:type="dxa"/>
            <w:tcBorders>
              <w:top w:val="single" w:sz="4" w:space="0" w:color="000000"/>
              <w:left w:val="nil"/>
              <w:bottom w:val="nil"/>
              <w:right w:val="single" w:sz="4" w:space="0" w:color="000000"/>
            </w:tcBorders>
            <w:shd w:val="clear" w:color="auto" w:fill="auto"/>
            <w:noWrap/>
            <w:vAlign w:val="bottom"/>
            <w:hideMark/>
          </w:tcPr>
          <w:p w:rsidR="008F242F" w:rsidRPr="008F242F" w:rsidRDefault="008F242F" w:rsidP="008F242F">
            <w:r w:rsidRPr="008F242F">
              <w:t>$747</w:t>
            </w:r>
          </w:p>
        </w:tc>
      </w:tr>
      <w:tr w:rsidR="008F242F" w:rsidRPr="008F242F" w:rsidTr="007511A5">
        <w:trPr>
          <w:trHeight w:val="328"/>
        </w:trPr>
        <w:tc>
          <w:tcPr>
            <w:tcW w:w="992" w:type="dxa"/>
            <w:tcBorders>
              <w:top w:val="single" w:sz="4" w:space="0" w:color="000000"/>
              <w:left w:val="single" w:sz="4" w:space="0" w:color="000000"/>
              <w:bottom w:val="nil"/>
              <w:right w:val="nil"/>
            </w:tcBorders>
            <w:shd w:val="clear" w:color="auto" w:fill="auto"/>
            <w:noWrap/>
            <w:vAlign w:val="bottom"/>
            <w:hideMark/>
          </w:tcPr>
          <w:p w:rsidR="008F242F" w:rsidRPr="008F242F" w:rsidRDefault="008F242F" w:rsidP="008F242F">
            <w:r w:rsidRPr="008F242F">
              <w:t>6216</w:t>
            </w:r>
          </w:p>
        </w:tc>
        <w:tc>
          <w:tcPr>
            <w:tcW w:w="4168"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Home Health Care Services</w:t>
            </w:r>
          </w:p>
        </w:tc>
        <w:tc>
          <w:tcPr>
            <w:tcW w:w="958" w:type="dxa"/>
            <w:gridSpan w:val="2"/>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3,629</w:t>
            </w:r>
          </w:p>
        </w:tc>
        <w:tc>
          <w:tcPr>
            <w:tcW w:w="959"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4,547</w:t>
            </w:r>
          </w:p>
        </w:tc>
        <w:tc>
          <w:tcPr>
            <w:tcW w:w="960"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918</w:t>
            </w:r>
          </w:p>
        </w:tc>
        <w:tc>
          <w:tcPr>
            <w:tcW w:w="1150"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25%</w:t>
            </w:r>
          </w:p>
        </w:tc>
        <w:tc>
          <w:tcPr>
            <w:tcW w:w="1253" w:type="dxa"/>
            <w:tcBorders>
              <w:top w:val="single" w:sz="4" w:space="0" w:color="000000"/>
              <w:left w:val="nil"/>
              <w:bottom w:val="nil"/>
              <w:right w:val="single" w:sz="4" w:space="0" w:color="000000"/>
            </w:tcBorders>
            <w:shd w:val="clear" w:color="auto" w:fill="auto"/>
            <w:noWrap/>
            <w:vAlign w:val="bottom"/>
            <w:hideMark/>
          </w:tcPr>
          <w:p w:rsidR="008F242F" w:rsidRPr="008F242F" w:rsidRDefault="008F242F" w:rsidP="008F242F">
            <w:r w:rsidRPr="008F242F">
              <w:t xml:space="preserve">$817 </w:t>
            </w:r>
          </w:p>
        </w:tc>
      </w:tr>
      <w:tr w:rsidR="008F242F" w:rsidRPr="008F242F" w:rsidTr="007511A5">
        <w:trPr>
          <w:trHeight w:val="328"/>
        </w:trPr>
        <w:tc>
          <w:tcPr>
            <w:tcW w:w="992" w:type="dxa"/>
            <w:tcBorders>
              <w:top w:val="single" w:sz="4" w:space="0" w:color="000000"/>
              <w:left w:val="single" w:sz="4" w:space="0" w:color="000000"/>
              <w:bottom w:val="nil"/>
              <w:right w:val="nil"/>
            </w:tcBorders>
            <w:shd w:val="clear" w:color="auto" w:fill="auto"/>
            <w:noWrap/>
            <w:vAlign w:val="bottom"/>
            <w:hideMark/>
          </w:tcPr>
          <w:p w:rsidR="008F242F" w:rsidRPr="008F242F" w:rsidRDefault="008F242F" w:rsidP="008F242F">
            <w:r w:rsidRPr="008F242F">
              <w:t>6212</w:t>
            </w:r>
          </w:p>
        </w:tc>
        <w:tc>
          <w:tcPr>
            <w:tcW w:w="4168"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Offices of Dentists</w:t>
            </w:r>
          </w:p>
        </w:tc>
        <w:tc>
          <w:tcPr>
            <w:tcW w:w="958" w:type="dxa"/>
            <w:gridSpan w:val="2"/>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2,667</w:t>
            </w:r>
          </w:p>
        </w:tc>
        <w:tc>
          <w:tcPr>
            <w:tcW w:w="959"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2,826</w:t>
            </w:r>
          </w:p>
        </w:tc>
        <w:tc>
          <w:tcPr>
            <w:tcW w:w="960"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159</w:t>
            </w:r>
          </w:p>
        </w:tc>
        <w:tc>
          <w:tcPr>
            <w:tcW w:w="1150"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6%</w:t>
            </w:r>
          </w:p>
        </w:tc>
        <w:tc>
          <w:tcPr>
            <w:tcW w:w="1253" w:type="dxa"/>
            <w:tcBorders>
              <w:top w:val="single" w:sz="4" w:space="0" w:color="000000"/>
              <w:left w:val="nil"/>
              <w:bottom w:val="nil"/>
              <w:right w:val="single" w:sz="4" w:space="0" w:color="000000"/>
            </w:tcBorders>
            <w:shd w:val="clear" w:color="auto" w:fill="auto"/>
            <w:noWrap/>
            <w:vAlign w:val="bottom"/>
            <w:hideMark/>
          </w:tcPr>
          <w:p w:rsidR="008F242F" w:rsidRPr="008F242F" w:rsidRDefault="008F242F" w:rsidP="008F242F">
            <w:r w:rsidRPr="008F242F">
              <w:t xml:space="preserve">$952 </w:t>
            </w:r>
          </w:p>
        </w:tc>
      </w:tr>
      <w:tr w:rsidR="008F242F" w:rsidRPr="008F242F" w:rsidTr="007511A5">
        <w:trPr>
          <w:trHeight w:val="328"/>
        </w:trPr>
        <w:tc>
          <w:tcPr>
            <w:tcW w:w="992" w:type="dxa"/>
            <w:tcBorders>
              <w:top w:val="single" w:sz="4" w:space="0" w:color="000000"/>
              <w:left w:val="single" w:sz="4" w:space="0" w:color="000000"/>
              <w:bottom w:val="nil"/>
              <w:right w:val="nil"/>
            </w:tcBorders>
            <w:shd w:val="clear" w:color="auto" w:fill="auto"/>
            <w:noWrap/>
            <w:vAlign w:val="bottom"/>
            <w:hideMark/>
          </w:tcPr>
          <w:p w:rsidR="008F242F" w:rsidRPr="008F242F" w:rsidRDefault="008F242F" w:rsidP="008F242F">
            <w:r w:rsidRPr="008F242F">
              <w:t>6219</w:t>
            </w:r>
          </w:p>
        </w:tc>
        <w:tc>
          <w:tcPr>
            <w:tcW w:w="4168"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Ambulatory Health Care Services</w:t>
            </w:r>
          </w:p>
        </w:tc>
        <w:tc>
          <w:tcPr>
            <w:tcW w:w="958" w:type="dxa"/>
            <w:gridSpan w:val="2"/>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1,346</w:t>
            </w:r>
          </w:p>
        </w:tc>
        <w:tc>
          <w:tcPr>
            <w:tcW w:w="959"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1,298</w:t>
            </w:r>
          </w:p>
        </w:tc>
        <w:tc>
          <w:tcPr>
            <w:tcW w:w="960"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-48</w:t>
            </w:r>
          </w:p>
        </w:tc>
        <w:tc>
          <w:tcPr>
            <w:tcW w:w="1150"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-3.6%</w:t>
            </w:r>
          </w:p>
        </w:tc>
        <w:tc>
          <w:tcPr>
            <w:tcW w:w="1253" w:type="dxa"/>
            <w:tcBorders>
              <w:top w:val="single" w:sz="4" w:space="0" w:color="000000"/>
              <w:left w:val="nil"/>
              <w:bottom w:val="nil"/>
              <w:right w:val="single" w:sz="4" w:space="0" w:color="000000"/>
            </w:tcBorders>
            <w:shd w:val="clear" w:color="auto" w:fill="auto"/>
            <w:noWrap/>
            <w:vAlign w:val="bottom"/>
            <w:hideMark/>
          </w:tcPr>
          <w:p w:rsidR="008F242F" w:rsidRPr="008F242F" w:rsidRDefault="008F242F" w:rsidP="008F242F">
            <w:r w:rsidRPr="008F242F">
              <w:t xml:space="preserve">$907 </w:t>
            </w:r>
          </w:p>
        </w:tc>
      </w:tr>
      <w:tr w:rsidR="008F242F" w:rsidRPr="008F242F" w:rsidTr="007511A5">
        <w:trPr>
          <w:trHeight w:val="360"/>
        </w:trPr>
        <w:tc>
          <w:tcPr>
            <w:tcW w:w="992" w:type="dxa"/>
            <w:tcBorders>
              <w:top w:val="single" w:sz="4" w:space="0" w:color="000000"/>
              <w:left w:val="single" w:sz="4" w:space="0" w:color="000000"/>
              <w:bottom w:val="nil"/>
              <w:right w:val="nil"/>
            </w:tcBorders>
            <w:shd w:val="clear" w:color="auto" w:fill="auto"/>
            <w:noWrap/>
            <w:vAlign w:val="bottom"/>
            <w:hideMark/>
          </w:tcPr>
          <w:p w:rsidR="008F242F" w:rsidRPr="008F242F" w:rsidRDefault="008F242F" w:rsidP="008F242F">
            <w:r w:rsidRPr="008F242F">
              <w:t>6232</w:t>
            </w:r>
          </w:p>
        </w:tc>
        <w:tc>
          <w:tcPr>
            <w:tcW w:w="4168"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Residential Mental Health Facilities</w:t>
            </w:r>
          </w:p>
        </w:tc>
        <w:tc>
          <w:tcPr>
            <w:tcW w:w="958" w:type="dxa"/>
            <w:gridSpan w:val="2"/>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1,860</w:t>
            </w:r>
          </w:p>
        </w:tc>
        <w:tc>
          <w:tcPr>
            <w:tcW w:w="959"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1,736</w:t>
            </w:r>
          </w:p>
        </w:tc>
        <w:tc>
          <w:tcPr>
            <w:tcW w:w="960"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-124</w:t>
            </w:r>
          </w:p>
        </w:tc>
        <w:tc>
          <w:tcPr>
            <w:tcW w:w="1150"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-6.7%</w:t>
            </w:r>
          </w:p>
        </w:tc>
        <w:tc>
          <w:tcPr>
            <w:tcW w:w="1253" w:type="dxa"/>
            <w:tcBorders>
              <w:top w:val="single" w:sz="4" w:space="0" w:color="000000"/>
              <w:left w:val="nil"/>
              <w:bottom w:val="nil"/>
              <w:right w:val="single" w:sz="4" w:space="0" w:color="000000"/>
            </w:tcBorders>
            <w:shd w:val="clear" w:color="auto" w:fill="auto"/>
            <w:noWrap/>
            <w:vAlign w:val="bottom"/>
            <w:hideMark/>
          </w:tcPr>
          <w:p w:rsidR="008F242F" w:rsidRPr="008F242F" w:rsidRDefault="008F242F" w:rsidP="008F242F">
            <w:r w:rsidRPr="008F242F">
              <w:t xml:space="preserve">$659 </w:t>
            </w:r>
          </w:p>
        </w:tc>
      </w:tr>
      <w:tr w:rsidR="008F242F" w:rsidRPr="008F242F" w:rsidTr="007511A5">
        <w:trPr>
          <w:trHeight w:val="328"/>
        </w:trPr>
        <w:tc>
          <w:tcPr>
            <w:tcW w:w="992" w:type="dxa"/>
            <w:tcBorders>
              <w:top w:val="single" w:sz="4" w:space="0" w:color="000000"/>
              <w:left w:val="single" w:sz="4" w:space="0" w:color="000000"/>
              <w:bottom w:val="nil"/>
              <w:right w:val="nil"/>
            </w:tcBorders>
            <w:shd w:val="clear" w:color="auto" w:fill="auto"/>
            <w:noWrap/>
            <w:vAlign w:val="bottom"/>
            <w:hideMark/>
          </w:tcPr>
          <w:p w:rsidR="008F242F" w:rsidRPr="008F242F" w:rsidRDefault="008F242F" w:rsidP="008F242F">
            <w:r w:rsidRPr="008F242F">
              <w:t>6233</w:t>
            </w:r>
          </w:p>
        </w:tc>
        <w:tc>
          <w:tcPr>
            <w:tcW w:w="4168"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Community Care Facility for the Elderly</w:t>
            </w:r>
          </w:p>
        </w:tc>
        <w:tc>
          <w:tcPr>
            <w:tcW w:w="958" w:type="dxa"/>
            <w:gridSpan w:val="2"/>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1,923</w:t>
            </w:r>
          </w:p>
        </w:tc>
        <w:tc>
          <w:tcPr>
            <w:tcW w:w="959"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2,260</w:t>
            </w:r>
          </w:p>
        </w:tc>
        <w:tc>
          <w:tcPr>
            <w:tcW w:w="960"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337</w:t>
            </w:r>
          </w:p>
        </w:tc>
        <w:tc>
          <w:tcPr>
            <w:tcW w:w="1150" w:type="dxa"/>
            <w:tcBorders>
              <w:top w:val="single" w:sz="4" w:space="0" w:color="000000"/>
              <w:left w:val="nil"/>
              <w:bottom w:val="nil"/>
              <w:right w:val="nil"/>
            </w:tcBorders>
            <w:shd w:val="clear" w:color="auto" w:fill="auto"/>
            <w:noWrap/>
            <w:vAlign w:val="bottom"/>
            <w:hideMark/>
          </w:tcPr>
          <w:p w:rsidR="008F242F" w:rsidRPr="008F242F" w:rsidRDefault="008F242F" w:rsidP="008F242F">
            <w:r w:rsidRPr="008F242F">
              <w:t>17.5%</w:t>
            </w:r>
          </w:p>
        </w:tc>
        <w:tc>
          <w:tcPr>
            <w:tcW w:w="1253" w:type="dxa"/>
            <w:tcBorders>
              <w:top w:val="single" w:sz="4" w:space="0" w:color="000000"/>
              <w:left w:val="nil"/>
              <w:bottom w:val="nil"/>
              <w:right w:val="single" w:sz="4" w:space="0" w:color="000000"/>
            </w:tcBorders>
            <w:shd w:val="clear" w:color="auto" w:fill="auto"/>
            <w:noWrap/>
            <w:vAlign w:val="bottom"/>
            <w:hideMark/>
          </w:tcPr>
          <w:p w:rsidR="008F242F" w:rsidRPr="008F242F" w:rsidRDefault="008F242F" w:rsidP="008F242F">
            <w:r w:rsidRPr="008F242F">
              <w:t xml:space="preserve">$601  </w:t>
            </w:r>
          </w:p>
        </w:tc>
      </w:tr>
      <w:tr w:rsidR="008F242F" w:rsidRPr="008F242F" w:rsidTr="007511A5">
        <w:trPr>
          <w:trHeight w:val="328"/>
        </w:trPr>
        <w:tc>
          <w:tcPr>
            <w:tcW w:w="992" w:type="dxa"/>
            <w:tcBorders>
              <w:top w:val="single" w:sz="4" w:space="0" w:color="000000"/>
              <w:left w:val="single" w:sz="4" w:space="0" w:color="000000"/>
              <w:bottom w:val="single" w:sz="4" w:space="0" w:color="000000"/>
              <w:right w:val="nil"/>
            </w:tcBorders>
            <w:shd w:val="clear" w:color="auto" w:fill="auto"/>
            <w:noWrap/>
            <w:vAlign w:val="bottom"/>
          </w:tcPr>
          <w:p w:rsidR="008F242F" w:rsidRPr="008F242F" w:rsidRDefault="008F242F" w:rsidP="008F242F"/>
        </w:tc>
        <w:tc>
          <w:tcPr>
            <w:tcW w:w="4168" w:type="dxa"/>
            <w:tcBorders>
              <w:top w:val="single" w:sz="4" w:space="0" w:color="000000"/>
              <w:left w:val="nil"/>
              <w:bottom w:val="single" w:sz="4" w:space="0" w:color="000000"/>
              <w:right w:val="nil"/>
            </w:tcBorders>
            <w:shd w:val="clear" w:color="auto" w:fill="auto"/>
            <w:noWrap/>
            <w:vAlign w:val="bottom"/>
          </w:tcPr>
          <w:p w:rsidR="008F242F" w:rsidRPr="008F242F" w:rsidRDefault="008F242F" w:rsidP="008F242F"/>
        </w:tc>
        <w:tc>
          <w:tcPr>
            <w:tcW w:w="958" w:type="dxa"/>
            <w:gridSpan w:val="2"/>
            <w:tcBorders>
              <w:top w:val="single" w:sz="4" w:space="0" w:color="000000"/>
              <w:left w:val="nil"/>
              <w:bottom w:val="single" w:sz="4" w:space="0" w:color="000000"/>
              <w:right w:val="nil"/>
            </w:tcBorders>
            <w:shd w:val="clear" w:color="auto" w:fill="auto"/>
            <w:noWrap/>
            <w:vAlign w:val="bottom"/>
          </w:tcPr>
          <w:p w:rsidR="008F242F" w:rsidRPr="008F242F" w:rsidRDefault="008F242F" w:rsidP="008F242F"/>
        </w:tc>
        <w:tc>
          <w:tcPr>
            <w:tcW w:w="959" w:type="dxa"/>
            <w:tcBorders>
              <w:top w:val="single" w:sz="4" w:space="0" w:color="000000"/>
              <w:left w:val="nil"/>
              <w:bottom w:val="single" w:sz="4" w:space="0" w:color="000000"/>
              <w:right w:val="nil"/>
            </w:tcBorders>
            <w:shd w:val="clear" w:color="auto" w:fill="auto"/>
            <w:noWrap/>
            <w:vAlign w:val="bottom"/>
          </w:tcPr>
          <w:p w:rsidR="008F242F" w:rsidRPr="008F242F" w:rsidRDefault="008F242F" w:rsidP="008F242F"/>
        </w:tc>
        <w:tc>
          <w:tcPr>
            <w:tcW w:w="960" w:type="dxa"/>
            <w:tcBorders>
              <w:top w:val="single" w:sz="4" w:space="0" w:color="000000"/>
              <w:left w:val="nil"/>
              <w:bottom w:val="single" w:sz="4" w:space="0" w:color="000000"/>
              <w:right w:val="nil"/>
            </w:tcBorders>
            <w:shd w:val="clear" w:color="auto" w:fill="auto"/>
            <w:noWrap/>
            <w:vAlign w:val="bottom"/>
          </w:tcPr>
          <w:p w:rsidR="008F242F" w:rsidRPr="008F242F" w:rsidRDefault="008F242F" w:rsidP="008F242F"/>
        </w:tc>
        <w:tc>
          <w:tcPr>
            <w:tcW w:w="1150" w:type="dxa"/>
            <w:tcBorders>
              <w:top w:val="single" w:sz="4" w:space="0" w:color="000000"/>
              <w:left w:val="nil"/>
              <w:bottom w:val="single" w:sz="4" w:space="0" w:color="000000"/>
              <w:right w:val="nil"/>
            </w:tcBorders>
            <w:shd w:val="clear" w:color="auto" w:fill="auto"/>
            <w:noWrap/>
            <w:vAlign w:val="bottom"/>
          </w:tcPr>
          <w:p w:rsidR="008F242F" w:rsidRPr="008F242F" w:rsidRDefault="008F242F" w:rsidP="008F242F"/>
        </w:tc>
        <w:tc>
          <w:tcPr>
            <w:tcW w:w="1253" w:type="dxa"/>
            <w:tcBorders>
              <w:top w:val="single" w:sz="4" w:space="0" w:color="000000"/>
              <w:left w:val="nil"/>
              <w:bottom w:val="single" w:sz="4" w:space="0" w:color="000000"/>
              <w:right w:val="single" w:sz="4" w:space="0" w:color="000000"/>
            </w:tcBorders>
            <w:shd w:val="clear" w:color="auto" w:fill="auto"/>
            <w:noWrap/>
            <w:vAlign w:val="bottom"/>
          </w:tcPr>
          <w:p w:rsidR="008F242F" w:rsidRPr="008F242F" w:rsidRDefault="008F242F" w:rsidP="008F242F"/>
        </w:tc>
      </w:tr>
    </w:tbl>
    <w:p w:rsidR="008F242F" w:rsidRPr="008F242F" w:rsidRDefault="008F242F">
      <w:bookmarkStart w:id="0" w:name="_GoBack"/>
      <w:bookmarkEnd w:id="0"/>
    </w:p>
    <w:sectPr w:rsidR="008F242F" w:rsidRPr="008F2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2F"/>
    <w:rsid w:val="00615B7F"/>
    <w:rsid w:val="008F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D460"/>
  <w15:chartTrackingRefBased/>
  <w15:docId w15:val="{5138E4FF-965B-4F0A-B416-C6CF1E2D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Christensen</dc:creator>
  <cp:keywords/>
  <dc:description/>
  <cp:lastModifiedBy>Ben Christensen</cp:lastModifiedBy>
  <cp:revision>1</cp:revision>
  <dcterms:created xsi:type="dcterms:W3CDTF">2018-11-05T20:44:00Z</dcterms:created>
  <dcterms:modified xsi:type="dcterms:W3CDTF">2018-11-05T20:46:00Z</dcterms:modified>
</cp:coreProperties>
</file>